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38A81" w14:textId="77777777" w:rsidR="00950D33" w:rsidRPr="00754B20" w:rsidRDefault="00950D33" w:rsidP="00950D33">
      <w:pPr>
        <w:spacing w:after="0" w:line="384" w:lineRule="auto"/>
        <w:textAlignment w:val="baseline"/>
        <w:rPr>
          <w:rFonts w:ascii="Gulim" w:eastAsia="Gulim" w:hAnsi="Gulim" w:cs="Gulim"/>
          <w:b/>
          <w:bCs/>
          <w:color w:val="000000"/>
          <w:kern w:val="0"/>
          <w:sz w:val="24"/>
          <w:szCs w:val="24"/>
        </w:rPr>
      </w:pPr>
      <w:r w:rsidRPr="00754B20">
        <w:rPr>
          <w:rFonts w:ascii="Gulim" w:eastAsia="Malgun Gothic" w:hAnsi="Gulim" w:cs="Gulim"/>
          <w:b/>
          <w:bCs/>
          <w:color w:val="000000"/>
          <w:kern w:val="0"/>
          <w:sz w:val="24"/>
          <w:szCs w:val="24"/>
          <w:u w:val="single" w:color="000000"/>
        </w:rPr>
        <w:t>세미나초록</w:t>
      </w:r>
    </w:p>
    <w:tbl>
      <w:tblPr>
        <w:tblOverlap w:val="never"/>
        <w:tblW w:w="8916" w:type="dxa"/>
        <w:tblCellMar>
          <w:top w:w="15" w:type="dxa"/>
          <w:left w:w="15" w:type="dxa"/>
          <w:bottom w:w="15" w:type="dxa"/>
          <w:right w:w="15" w:type="dxa"/>
        </w:tblCellMar>
        <w:tblLook w:val="04A0" w:firstRow="1" w:lastRow="0" w:firstColumn="1" w:lastColumn="0" w:noHBand="0" w:noVBand="1"/>
      </w:tblPr>
      <w:tblGrid>
        <w:gridCol w:w="1356"/>
        <w:gridCol w:w="1599"/>
        <w:gridCol w:w="5961"/>
      </w:tblGrid>
      <w:tr w:rsidR="00950D33" w:rsidRPr="00754B20" w14:paraId="5A476064" w14:textId="77777777" w:rsidTr="00366D0A">
        <w:trPr>
          <w:cantSplit/>
          <w:trHeight w:val="510"/>
        </w:trPr>
        <w:tc>
          <w:tcPr>
            <w:tcW w:w="1356"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0ED5847B" w14:textId="77777777" w:rsidR="00950D33" w:rsidRPr="00754B20" w:rsidRDefault="00950D33"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발표주제</w:t>
            </w:r>
          </w:p>
        </w:tc>
        <w:tc>
          <w:tcPr>
            <w:tcW w:w="7560"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304821D9" w14:textId="7BA591A0" w:rsidR="00950D33" w:rsidRPr="00754B20" w:rsidRDefault="008C2184" w:rsidP="008C2184">
            <w:pPr>
              <w:pStyle w:val="NormalWeb"/>
              <w:shd w:val="clear" w:color="auto" w:fill="FFFFFF"/>
              <w:spacing w:after="335" w:line="402" w:lineRule="atLeast"/>
              <w:rPr>
                <w:color w:val="000000"/>
              </w:rPr>
            </w:pPr>
            <w:r w:rsidRPr="00754B20">
              <w:rPr>
                <w:color w:val="000000"/>
              </w:rPr>
              <w:t>Biological design and engineering of biofuels producing microbial systems</w:t>
            </w:r>
          </w:p>
        </w:tc>
      </w:tr>
      <w:tr w:rsidR="00950D33" w:rsidRPr="00754B20" w14:paraId="47BC22BC" w14:textId="77777777" w:rsidTr="00366D0A">
        <w:trPr>
          <w:cantSplit/>
          <w:trHeight w:val="3390"/>
        </w:trPr>
        <w:tc>
          <w:tcPr>
            <w:tcW w:w="13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7F49BF01" w14:textId="77777777" w:rsidR="00950D33" w:rsidRPr="00754B20" w:rsidRDefault="00950D33"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발표내용</w:t>
            </w:r>
          </w:p>
        </w:tc>
        <w:tc>
          <w:tcPr>
            <w:tcW w:w="756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6114703E" w14:textId="77777777" w:rsidR="008C2184" w:rsidRPr="00754B20" w:rsidRDefault="008C2184" w:rsidP="008C2184">
            <w:pPr>
              <w:rPr>
                <w:rFonts w:ascii="Times New Roman" w:hAnsi="Times New Roman"/>
                <w:sz w:val="24"/>
                <w:szCs w:val="24"/>
              </w:rPr>
            </w:pPr>
            <w:r w:rsidRPr="00754B20">
              <w:rPr>
                <w:rFonts w:ascii="Times New Roman" w:hAnsi="Times New Roman"/>
                <w:sz w:val="24"/>
                <w:szCs w:val="24"/>
              </w:rPr>
              <w:t xml:space="preserve">Single-cell microbes, such as </w:t>
            </w:r>
            <w:r w:rsidRPr="00754B20">
              <w:rPr>
                <w:rFonts w:ascii="Times New Roman" w:hAnsi="Times New Roman"/>
                <w:i/>
                <w:sz w:val="24"/>
                <w:szCs w:val="24"/>
              </w:rPr>
              <w:t>E. coli</w:t>
            </w:r>
            <w:r w:rsidRPr="00754B20">
              <w:rPr>
                <w:rFonts w:ascii="Times New Roman" w:hAnsi="Times New Roman"/>
                <w:sz w:val="24"/>
                <w:szCs w:val="24"/>
              </w:rPr>
              <w:t xml:space="preserve"> and yeast, can be redesigned to be miniature chemical reactors that transform sugars into biofuels and biochemicals. With the development of synthetic biology, we can design biological systems, introduce biosynthetic pathways from one organism into new host organism, and engineer metabolic pathways using genetic manipulation to optimize the production of target biofuels and biochemicals that the host microbe does not naturally generate. </w:t>
            </w:r>
          </w:p>
          <w:p w14:paraId="6822E212" w14:textId="77777777" w:rsidR="008C2184" w:rsidRPr="00754B20" w:rsidRDefault="008C2184" w:rsidP="008C2184">
            <w:pPr>
              <w:rPr>
                <w:rFonts w:ascii="Times New Roman" w:hAnsi="Times New Roman"/>
                <w:sz w:val="24"/>
                <w:szCs w:val="24"/>
              </w:rPr>
            </w:pPr>
            <w:r w:rsidRPr="00754B20">
              <w:rPr>
                <w:rFonts w:ascii="Times New Roman" w:hAnsi="Times New Roman"/>
                <w:sz w:val="24"/>
                <w:szCs w:val="24"/>
              </w:rPr>
              <w:t xml:space="preserve">Isoprenoids are naturally occurring hydrocarbons with a branched, and in many cases, a cyclic structure. They are produced mostly by plant and have been used traditionally as medicine and fragrance ingredients. However, recently the use of these molecules as biofuels has been explored and has shown a great possibility.  </w:t>
            </w:r>
          </w:p>
          <w:p w14:paraId="1D47CDCB" w14:textId="77777777" w:rsidR="008C2184" w:rsidRPr="00754B20" w:rsidRDefault="008C2184" w:rsidP="008C2184">
            <w:pPr>
              <w:rPr>
                <w:rFonts w:ascii="Times New Roman" w:hAnsi="Times New Roman"/>
                <w:sz w:val="24"/>
                <w:szCs w:val="24"/>
              </w:rPr>
            </w:pPr>
            <w:r w:rsidRPr="00754B20">
              <w:rPr>
                <w:rFonts w:ascii="Times New Roman" w:hAnsi="Times New Roman" w:hint="eastAsia"/>
                <w:sz w:val="24"/>
                <w:szCs w:val="24"/>
              </w:rPr>
              <w:t>W</w:t>
            </w:r>
            <w:r w:rsidRPr="00754B20">
              <w:rPr>
                <w:rFonts w:ascii="Times New Roman" w:hAnsi="Times New Roman"/>
                <w:sz w:val="24"/>
                <w:szCs w:val="24"/>
              </w:rPr>
              <w:t xml:space="preserve">e designed and identified isoprenoid compounds that can be potentially used as fuels, and engineered the heterologous biosynthetic pathway into model host, </w:t>
            </w:r>
            <w:r w:rsidRPr="00754B20">
              <w:rPr>
                <w:rFonts w:ascii="Times New Roman" w:hAnsi="Times New Roman"/>
                <w:i/>
                <w:sz w:val="24"/>
                <w:szCs w:val="24"/>
              </w:rPr>
              <w:t>E. coli</w:t>
            </w:r>
            <w:r w:rsidRPr="00754B20">
              <w:rPr>
                <w:rFonts w:ascii="Times New Roman" w:hAnsi="Times New Roman"/>
                <w:sz w:val="24"/>
                <w:szCs w:val="24"/>
              </w:rPr>
              <w:t xml:space="preserve">, to produce these terpene compounds with a relatively high yield. To achieve higher production titer of these terpene molecules, we have optimized the pathway to accumulate the precursors using synthetic biology and advanced Omics. </w:t>
            </w:r>
          </w:p>
          <w:p w14:paraId="4B319208" w14:textId="54F85E86" w:rsidR="00950D33" w:rsidRPr="00754B20" w:rsidRDefault="008C2184" w:rsidP="008C2184">
            <w:pPr>
              <w:rPr>
                <w:rFonts w:ascii="Times New Roman" w:hAnsi="Times New Roman"/>
                <w:sz w:val="24"/>
                <w:szCs w:val="24"/>
              </w:rPr>
            </w:pPr>
            <w:r w:rsidRPr="00754B20">
              <w:rPr>
                <w:rFonts w:ascii="Times New Roman" w:hAnsi="Times New Roman"/>
                <w:sz w:val="24"/>
                <w:szCs w:val="24"/>
              </w:rPr>
              <w:t xml:space="preserve">In this work, we have created highly efficient microbial factories for green, cost-effective and sustainable production of advanced biofuels and other valuable products. </w:t>
            </w:r>
          </w:p>
        </w:tc>
      </w:tr>
      <w:tr w:rsidR="00950D33" w:rsidRPr="00754B20" w14:paraId="71BE05C5" w14:textId="77777777" w:rsidTr="00366D0A">
        <w:trPr>
          <w:cantSplit/>
          <w:trHeight w:val="508"/>
        </w:trPr>
        <w:tc>
          <w:tcPr>
            <w:tcW w:w="13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78D5A5F" w14:textId="77777777" w:rsidR="00950D33" w:rsidRPr="00754B20" w:rsidRDefault="00950D33"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발표자</w:t>
            </w:r>
          </w:p>
        </w:tc>
        <w:tc>
          <w:tcPr>
            <w:tcW w:w="756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24D09A59" w14:textId="196354BD" w:rsidR="00950D33" w:rsidRPr="00754B20" w:rsidRDefault="008C2184" w:rsidP="00950D33">
            <w:pPr>
              <w:wordWrap/>
              <w:snapToGrid w:val="0"/>
              <w:spacing w:after="0" w:line="384" w:lineRule="auto"/>
              <w:jc w:val="center"/>
              <w:textAlignment w:val="baseline"/>
              <w:rPr>
                <w:rFonts w:ascii="Times New Roman" w:eastAsia="Malgun Gothic" w:hAnsi="Times New Roman" w:cs="Times New Roman"/>
                <w:color w:val="000000"/>
                <w:kern w:val="0"/>
                <w:sz w:val="24"/>
                <w:szCs w:val="24"/>
              </w:rPr>
            </w:pPr>
            <w:r w:rsidRPr="00754B20">
              <w:rPr>
                <w:rFonts w:ascii="Times New Roman" w:eastAsia="Malgun Gothic" w:hAnsi="Times New Roman" w:cs="Times New Roman"/>
                <w:color w:val="000000"/>
                <w:kern w:val="0"/>
                <w:sz w:val="24"/>
                <w:szCs w:val="24"/>
              </w:rPr>
              <w:t>이택순</w:t>
            </w:r>
            <w:r w:rsidRPr="00754B20">
              <w:rPr>
                <w:rFonts w:ascii="Times New Roman" w:eastAsia="Malgun Gothic" w:hAnsi="Times New Roman" w:cs="Times New Roman"/>
                <w:color w:val="000000"/>
                <w:kern w:val="0"/>
                <w:sz w:val="24"/>
                <w:szCs w:val="24"/>
              </w:rPr>
              <w:t xml:space="preserve"> (</w:t>
            </w:r>
            <w:proofErr w:type="spellStart"/>
            <w:r w:rsidRPr="00754B20">
              <w:rPr>
                <w:rFonts w:ascii="Times New Roman" w:eastAsia="Malgun Gothic" w:hAnsi="Times New Roman" w:cs="Times New Roman"/>
                <w:color w:val="000000"/>
                <w:kern w:val="0"/>
                <w:sz w:val="24"/>
                <w:szCs w:val="24"/>
              </w:rPr>
              <w:t>T</w:t>
            </w:r>
            <w:bookmarkStart w:id="0" w:name="_GoBack"/>
            <w:bookmarkEnd w:id="0"/>
            <w:r w:rsidRPr="00754B20">
              <w:rPr>
                <w:rFonts w:ascii="Times New Roman" w:eastAsia="Malgun Gothic" w:hAnsi="Times New Roman" w:cs="Times New Roman"/>
                <w:color w:val="000000"/>
                <w:kern w:val="0"/>
                <w:sz w:val="24"/>
                <w:szCs w:val="24"/>
              </w:rPr>
              <w:t>aek</w:t>
            </w:r>
            <w:proofErr w:type="spellEnd"/>
            <w:r w:rsidRPr="00754B20">
              <w:rPr>
                <w:rFonts w:ascii="Times New Roman" w:eastAsia="Malgun Gothic" w:hAnsi="Times New Roman" w:cs="Times New Roman"/>
                <w:color w:val="000000"/>
                <w:kern w:val="0"/>
                <w:sz w:val="24"/>
                <w:szCs w:val="24"/>
              </w:rPr>
              <w:t xml:space="preserve"> Soon Lee)</w:t>
            </w:r>
            <w:r w:rsidR="00586918">
              <w:rPr>
                <w:rFonts w:ascii="Times New Roman" w:eastAsia="Malgun Gothic" w:hAnsi="Times New Roman" w:cs="Times New Roman"/>
                <w:color w:val="000000"/>
                <w:kern w:val="0"/>
                <w:sz w:val="24"/>
                <w:szCs w:val="24"/>
              </w:rPr>
              <w:t xml:space="preserve"> at Lawrence Berkeley National Lab.</w:t>
            </w:r>
          </w:p>
        </w:tc>
      </w:tr>
      <w:tr w:rsidR="00366D0A" w:rsidRPr="00754B20" w14:paraId="05492A7B" w14:textId="77777777" w:rsidTr="0017747A">
        <w:trPr>
          <w:cantSplit/>
          <w:trHeight w:val="413"/>
        </w:trPr>
        <w:tc>
          <w:tcPr>
            <w:tcW w:w="1356" w:type="dxa"/>
            <w:vMerge w:val="restart"/>
            <w:tcBorders>
              <w:top w:val="single" w:sz="2" w:space="0" w:color="000000"/>
              <w:left w:val="single" w:sz="12" w:space="0" w:color="000000"/>
              <w:right w:val="single" w:sz="2" w:space="0" w:color="000000"/>
            </w:tcBorders>
            <w:tcMar>
              <w:top w:w="28" w:type="dxa"/>
              <w:left w:w="102" w:type="dxa"/>
              <w:bottom w:w="28" w:type="dxa"/>
              <w:right w:w="102" w:type="dxa"/>
            </w:tcMar>
            <w:vAlign w:val="center"/>
            <w:hideMark/>
          </w:tcPr>
          <w:p w14:paraId="21F054AC" w14:textId="77777777" w:rsidR="00366D0A" w:rsidRPr="00754B20" w:rsidRDefault="00366D0A"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학력</w:t>
            </w:r>
          </w:p>
          <w:p w14:paraId="1BED18F0" w14:textId="77777777" w:rsidR="00366D0A" w:rsidRPr="00754B20" w:rsidRDefault="00366D0A"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Malgun Gothic" w:eastAsia="Malgun Gothic" w:hAnsi="Malgun Gothic" w:cs="Gulim" w:hint="eastAsia"/>
                <w:color w:val="000000"/>
                <w:kern w:val="0"/>
                <w:sz w:val="24"/>
                <w:szCs w:val="24"/>
              </w:rPr>
              <w:t>(</w:t>
            </w:r>
            <w:r w:rsidRPr="00754B20">
              <w:rPr>
                <w:rFonts w:ascii="Gulim" w:eastAsia="Malgun Gothic" w:hAnsi="Gulim" w:cs="Gulim"/>
                <w:color w:val="000000"/>
                <w:kern w:val="0"/>
                <w:sz w:val="24"/>
                <w:szCs w:val="24"/>
              </w:rPr>
              <w:t>학사이상</w:t>
            </w:r>
            <w:r w:rsidRPr="00754B20">
              <w:rPr>
                <w:rFonts w:ascii="Malgun Gothic" w:eastAsia="Malgun Gothic" w:hAnsi="Malgun Gothic" w:cs="Gulim" w:hint="eastAsia"/>
                <w:color w:val="000000"/>
                <w:kern w:val="0"/>
                <w:sz w:val="24"/>
                <w:szCs w:val="24"/>
              </w:rPr>
              <w:t>)</w:t>
            </w: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E2697B" w14:textId="77777777" w:rsidR="00366D0A" w:rsidRPr="00754B20" w:rsidRDefault="00366D0A"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연도</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5F579AA" w14:textId="77777777" w:rsidR="00366D0A" w:rsidRPr="00754B20" w:rsidRDefault="00366D0A"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내용</w:t>
            </w:r>
          </w:p>
        </w:tc>
      </w:tr>
      <w:tr w:rsidR="00366D0A" w:rsidRPr="00754B20" w14:paraId="3C6BF046" w14:textId="77777777" w:rsidTr="0017747A">
        <w:trPr>
          <w:cantSplit/>
          <w:trHeight w:val="525"/>
        </w:trPr>
        <w:tc>
          <w:tcPr>
            <w:tcW w:w="0" w:type="auto"/>
            <w:vMerge/>
            <w:tcBorders>
              <w:left w:val="single" w:sz="12" w:space="0" w:color="000000"/>
              <w:right w:val="single" w:sz="2" w:space="0" w:color="000000"/>
            </w:tcBorders>
            <w:vAlign w:val="center"/>
            <w:hideMark/>
          </w:tcPr>
          <w:p w14:paraId="62EF5B3E" w14:textId="77777777" w:rsidR="00366D0A" w:rsidRPr="00754B20" w:rsidRDefault="00366D0A" w:rsidP="00950D33">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8C39F6" w14:textId="28B35C60" w:rsidR="00366D0A" w:rsidRPr="00754B20" w:rsidRDefault="00366D0A" w:rsidP="00366D0A">
            <w:pPr>
              <w:snapToGrid w:val="0"/>
              <w:spacing w:after="0" w:line="240" w:lineRule="auto"/>
              <w:jc w:val="left"/>
              <w:textAlignment w:val="baseline"/>
              <w:rPr>
                <w:rFonts w:ascii="Times New Roman" w:eastAsia="Malgun Gothic" w:hAnsi="Times New Roman" w:cs="Times New Roman"/>
                <w:color w:val="000000"/>
                <w:kern w:val="0"/>
                <w:sz w:val="24"/>
                <w:szCs w:val="24"/>
              </w:rPr>
            </w:pPr>
            <w:r w:rsidRPr="00754B20">
              <w:rPr>
                <w:rFonts w:ascii="Times New Roman" w:eastAsia="Malgun Gothic" w:hAnsi="Times New Roman" w:cs="Times New Roman"/>
                <w:color w:val="000000"/>
                <w:kern w:val="0"/>
                <w:sz w:val="24"/>
                <w:szCs w:val="24"/>
              </w:rPr>
              <w:t>2001-2006</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05983D15" w14:textId="75258130" w:rsidR="007D3433" w:rsidRPr="00754B20" w:rsidRDefault="00366D0A" w:rsidP="00366D0A">
            <w:pPr>
              <w:spacing w:line="240" w:lineRule="auto"/>
              <w:jc w:val="left"/>
              <w:rPr>
                <w:rFonts w:ascii="Times New Roman" w:hAnsi="Times New Roman" w:cs="Times New Roman"/>
                <w:sz w:val="24"/>
                <w:szCs w:val="24"/>
              </w:rPr>
            </w:pPr>
            <w:r w:rsidRPr="00754B20">
              <w:rPr>
                <w:rFonts w:ascii="Times New Roman" w:hAnsi="Times New Roman" w:cs="Times New Roman"/>
                <w:sz w:val="24"/>
                <w:szCs w:val="24"/>
              </w:rPr>
              <w:t>Ph.D., Chemistry, Stanford University, Stanford, CA</w:t>
            </w:r>
            <w:r w:rsidR="00B66529">
              <w:rPr>
                <w:rFonts w:ascii="Times New Roman" w:hAnsi="Times New Roman" w:cs="Times New Roman"/>
                <w:sz w:val="24"/>
                <w:szCs w:val="24"/>
              </w:rPr>
              <w:t xml:space="preserve">. </w:t>
            </w:r>
            <w:r w:rsidR="007D3433" w:rsidRPr="007D3433">
              <w:rPr>
                <w:rFonts w:ascii="Times New Roman" w:hAnsi="Times New Roman" w:cs="Times New Roman"/>
                <w:sz w:val="24"/>
                <w:szCs w:val="24"/>
              </w:rPr>
              <w:t xml:space="preserve">Advisor: Professor </w:t>
            </w:r>
            <w:proofErr w:type="spellStart"/>
            <w:r w:rsidR="007D3433" w:rsidRPr="007D3433">
              <w:rPr>
                <w:rFonts w:ascii="Times New Roman" w:hAnsi="Times New Roman" w:cs="Times New Roman"/>
                <w:sz w:val="24"/>
                <w:szCs w:val="24"/>
              </w:rPr>
              <w:t>Chaitan</w:t>
            </w:r>
            <w:proofErr w:type="spellEnd"/>
            <w:r w:rsidR="007D3433" w:rsidRPr="007D3433">
              <w:rPr>
                <w:rFonts w:ascii="Times New Roman" w:hAnsi="Times New Roman" w:cs="Times New Roman"/>
                <w:sz w:val="24"/>
                <w:szCs w:val="24"/>
              </w:rPr>
              <w:t xml:space="preserve"> Khosla</w:t>
            </w:r>
          </w:p>
        </w:tc>
      </w:tr>
      <w:tr w:rsidR="00366D0A" w:rsidRPr="00754B20" w14:paraId="3FEAE9AD" w14:textId="77777777" w:rsidTr="0017747A">
        <w:trPr>
          <w:cantSplit/>
          <w:trHeight w:val="588"/>
        </w:trPr>
        <w:tc>
          <w:tcPr>
            <w:tcW w:w="0" w:type="auto"/>
            <w:vMerge/>
            <w:tcBorders>
              <w:left w:val="single" w:sz="12" w:space="0" w:color="000000"/>
              <w:right w:val="single" w:sz="2" w:space="0" w:color="000000"/>
            </w:tcBorders>
            <w:vAlign w:val="center"/>
          </w:tcPr>
          <w:p w14:paraId="123FA14C" w14:textId="77777777" w:rsidR="00366D0A" w:rsidRPr="00754B20" w:rsidRDefault="00366D0A" w:rsidP="00950D33">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E1BAA57" w14:textId="582B42DB" w:rsidR="00366D0A" w:rsidRPr="00754B20" w:rsidRDefault="00366D0A" w:rsidP="00366D0A">
            <w:pPr>
              <w:snapToGrid w:val="0"/>
              <w:spacing w:after="0" w:line="240" w:lineRule="auto"/>
              <w:jc w:val="left"/>
              <w:textAlignment w:val="baseline"/>
              <w:rPr>
                <w:rFonts w:ascii="Times New Roman" w:eastAsia="Malgun Gothic" w:hAnsi="Times New Roman" w:cs="Times New Roman"/>
                <w:color w:val="000000"/>
                <w:kern w:val="0"/>
                <w:sz w:val="24"/>
                <w:szCs w:val="24"/>
              </w:rPr>
            </w:pPr>
            <w:r w:rsidRPr="00754B20">
              <w:rPr>
                <w:rFonts w:ascii="Times New Roman" w:eastAsia="Malgun Gothic" w:hAnsi="Times New Roman" w:cs="Times New Roman"/>
                <w:color w:val="000000"/>
                <w:kern w:val="0"/>
                <w:sz w:val="24"/>
                <w:szCs w:val="24"/>
              </w:rPr>
              <w:t>1998-1999</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76629B40" w14:textId="5B596798" w:rsidR="00B66529" w:rsidRPr="00754B20" w:rsidRDefault="00366D0A" w:rsidP="00366D0A">
            <w:pPr>
              <w:spacing w:line="240" w:lineRule="auto"/>
              <w:jc w:val="left"/>
              <w:rPr>
                <w:rFonts w:ascii="Times New Roman" w:hAnsi="Times New Roman" w:cs="Times New Roman"/>
                <w:sz w:val="24"/>
                <w:szCs w:val="24"/>
              </w:rPr>
            </w:pPr>
            <w:proofErr w:type="spellStart"/>
            <w:r w:rsidRPr="00754B20">
              <w:rPr>
                <w:rFonts w:ascii="Times New Roman" w:hAnsi="Times New Roman" w:cs="Times New Roman"/>
                <w:sz w:val="24"/>
                <w:szCs w:val="24"/>
              </w:rPr>
              <w:t>Masters</w:t>
            </w:r>
            <w:proofErr w:type="spellEnd"/>
            <w:r w:rsidRPr="00754B20">
              <w:rPr>
                <w:rFonts w:ascii="Times New Roman" w:hAnsi="Times New Roman" w:cs="Times New Roman"/>
                <w:sz w:val="24"/>
                <w:szCs w:val="24"/>
              </w:rPr>
              <w:t xml:space="preserve"> program participant at Seoul National University</w:t>
            </w:r>
            <w:r w:rsidR="00B66529">
              <w:rPr>
                <w:rFonts w:ascii="Times New Roman" w:hAnsi="Times New Roman" w:cs="Times New Roman"/>
                <w:sz w:val="24"/>
                <w:szCs w:val="24"/>
              </w:rPr>
              <w:t xml:space="preserve">. </w:t>
            </w:r>
            <w:r w:rsidR="00B66529" w:rsidRPr="00B66529">
              <w:rPr>
                <w:rFonts w:ascii="Times New Roman" w:hAnsi="Times New Roman" w:cs="Times New Roman"/>
                <w:sz w:val="24"/>
                <w:szCs w:val="24"/>
              </w:rPr>
              <w:t xml:space="preserve">Advisor: Professor </w:t>
            </w:r>
            <w:proofErr w:type="spellStart"/>
            <w:r w:rsidR="00B66529" w:rsidRPr="00B66529">
              <w:rPr>
                <w:rFonts w:ascii="Times New Roman" w:hAnsi="Times New Roman" w:cs="Times New Roman"/>
                <w:sz w:val="24"/>
                <w:szCs w:val="24"/>
              </w:rPr>
              <w:t>Junghun</w:t>
            </w:r>
            <w:proofErr w:type="spellEnd"/>
            <w:r w:rsidR="00B66529" w:rsidRPr="00B66529">
              <w:rPr>
                <w:rFonts w:ascii="Times New Roman" w:hAnsi="Times New Roman" w:cs="Times New Roman"/>
                <w:sz w:val="24"/>
                <w:szCs w:val="24"/>
              </w:rPr>
              <w:t xml:space="preserve"> Suh and Professor </w:t>
            </w:r>
            <w:proofErr w:type="spellStart"/>
            <w:r w:rsidR="00B66529" w:rsidRPr="00B66529">
              <w:rPr>
                <w:rFonts w:ascii="Times New Roman" w:hAnsi="Times New Roman" w:cs="Times New Roman"/>
                <w:sz w:val="24"/>
                <w:szCs w:val="24"/>
              </w:rPr>
              <w:t>Myunghyun</w:t>
            </w:r>
            <w:proofErr w:type="spellEnd"/>
            <w:r w:rsidR="00B66529" w:rsidRPr="00B66529">
              <w:rPr>
                <w:rFonts w:ascii="Times New Roman" w:hAnsi="Times New Roman" w:cs="Times New Roman"/>
                <w:sz w:val="24"/>
                <w:szCs w:val="24"/>
              </w:rPr>
              <w:t xml:space="preserve"> Paik Suh</w:t>
            </w:r>
          </w:p>
        </w:tc>
      </w:tr>
      <w:tr w:rsidR="00366D0A" w:rsidRPr="00754B20" w14:paraId="751E6CEC" w14:textId="77777777" w:rsidTr="00754B20">
        <w:trPr>
          <w:cantSplit/>
          <w:trHeight w:val="660"/>
        </w:trPr>
        <w:tc>
          <w:tcPr>
            <w:tcW w:w="0" w:type="auto"/>
            <w:vMerge/>
            <w:tcBorders>
              <w:left w:val="single" w:sz="12" w:space="0" w:color="000000"/>
              <w:bottom w:val="single" w:sz="2" w:space="0" w:color="000000"/>
              <w:right w:val="single" w:sz="2" w:space="0" w:color="000000"/>
            </w:tcBorders>
            <w:vAlign w:val="center"/>
          </w:tcPr>
          <w:p w14:paraId="5DEFECAC" w14:textId="77777777" w:rsidR="00366D0A" w:rsidRPr="00754B20" w:rsidRDefault="00366D0A" w:rsidP="00950D33">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8576A1C" w14:textId="1EF08C63" w:rsidR="00366D0A" w:rsidRPr="00754B20" w:rsidRDefault="00366D0A" w:rsidP="00366D0A">
            <w:pPr>
              <w:snapToGrid w:val="0"/>
              <w:spacing w:after="0" w:line="240" w:lineRule="auto"/>
              <w:jc w:val="left"/>
              <w:textAlignment w:val="baseline"/>
              <w:rPr>
                <w:rFonts w:ascii="Times New Roman" w:eastAsia="Malgun Gothic" w:hAnsi="Times New Roman" w:cs="Times New Roman"/>
                <w:color w:val="000000"/>
                <w:kern w:val="0"/>
                <w:sz w:val="24"/>
                <w:szCs w:val="24"/>
              </w:rPr>
            </w:pPr>
            <w:r w:rsidRPr="00754B20">
              <w:rPr>
                <w:rFonts w:ascii="Times New Roman" w:eastAsia="Malgun Gothic" w:hAnsi="Times New Roman" w:cs="Times New Roman"/>
                <w:color w:val="000000"/>
                <w:kern w:val="0"/>
                <w:sz w:val="24"/>
                <w:szCs w:val="24"/>
              </w:rPr>
              <w:t>1994-1998</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2C8E9608" w14:textId="1A817CFD" w:rsidR="00366D0A" w:rsidRPr="00754B20" w:rsidRDefault="00366D0A" w:rsidP="00366D0A">
            <w:pPr>
              <w:spacing w:line="240" w:lineRule="auto"/>
              <w:jc w:val="left"/>
              <w:rPr>
                <w:rFonts w:ascii="Times New Roman" w:hAnsi="Times New Roman" w:cs="Times New Roman"/>
                <w:sz w:val="24"/>
                <w:szCs w:val="24"/>
              </w:rPr>
            </w:pPr>
            <w:r w:rsidRPr="00754B20">
              <w:rPr>
                <w:rFonts w:ascii="Times New Roman" w:hAnsi="Times New Roman" w:cs="Times New Roman"/>
                <w:sz w:val="24"/>
                <w:szCs w:val="24"/>
              </w:rPr>
              <w:t>B.S. (</w:t>
            </w:r>
            <w:r w:rsidRPr="00754B20">
              <w:rPr>
                <w:rFonts w:ascii="Times New Roman" w:hAnsi="Times New Roman" w:cs="Times New Roman"/>
                <w:i/>
                <w:iCs/>
                <w:sz w:val="24"/>
                <w:szCs w:val="24"/>
              </w:rPr>
              <w:t>summa cum laude</w:t>
            </w:r>
            <w:r w:rsidRPr="00754B20">
              <w:rPr>
                <w:rFonts w:ascii="Times New Roman" w:hAnsi="Times New Roman" w:cs="Times New Roman"/>
                <w:sz w:val="24"/>
                <w:szCs w:val="24"/>
              </w:rPr>
              <w:t>), Chemistry, Seoul National University, Seoul, Korea</w:t>
            </w:r>
          </w:p>
        </w:tc>
      </w:tr>
      <w:tr w:rsidR="008C2184" w:rsidRPr="00754B20" w14:paraId="18B2A9EC" w14:textId="77777777" w:rsidTr="00366D0A">
        <w:trPr>
          <w:cantSplit/>
          <w:trHeight w:val="410"/>
        </w:trPr>
        <w:tc>
          <w:tcPr>
            <w:tcW w:w="1356" w:type="dxa"/>
            <w:vMerge w:val="restart"/>
            <w:tcBorders>
              <w:top w:val="single" w:sz="2" w:space="0" w:color="000000"/>
              <w:left w:val="single" w:sz="12" w:space="0" w:color="000000"/>
              <w:right w:val="single" w:sz="2" w:space="0" w:color="000000"/>
            </w:tcBorders>
            <w:tcMar>
              <w:top w:w="28" w:type="dxa"/>
              <w:left w:w="102" w:type="dxa"/>
              <w:bottom w:w="28" w:type="dxa"/>
              <w:right w:w="102" w:type="dxa"/>
            </w:tcMar>
            <w:vAlign w:val="center"/>
            <w:hideMark/>
          </w:tcPr>
          <w:p w14:paraId="13ED7643" w14:textId="77777777" w:rsidR="008C2184" w:rsidRPr="00754B20" w:rsidRDefault="008C2184"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주요약력</w:t>
            </w:r>
          </w:p>
        </w:tc>
        <w:tc>
          <w:tcPr>
            <w:tcW w:w="15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DEB119" w14:textId="77777777" w:rsidR="008C2184" w:rsidRPr="00754B20" w:rsidRDefault="008C2184"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연도</w:t>
            </w:r>
          </w:p>
        </w:tc>
        <w:tc>
          <w:tcPr>
            <w:tcW w:w="5961"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53CCDDE" w14:textId="77777777" w:rsidR="008C2184" w:rsidRPr="00754B20" w:rsidRDefault="008C2184" w:rsidP="00950D33">
            <w:pPr>
              <w:wordWrap/>
              <w:snapToGrid w:val="0"/>
              <w:spacing w:after="0" w:line="384" w:lineRule="auto"/>
              <w:jc w:val="center"/>
              <w:textAlignment w:val="baseline"/>
              <w:rPr>
                <w:rFonts w:ascii="Gulim" w:eastAsia="Gulim" w:hAnsi="Gulim" w:cs="Gulim"/>
                <w:color w:val="000000"/>
                <w:kern w:val="0"/>
                <w:sz w:val="24"/>
                <w:szCs w:val="24"/>
              </w:rPr>
            </w:pPr>
            <w:r w:rsidRPr="00754B20">
              <w:rPr>
                <w:rFonts w:ascii="Gulim" w:eastAsia="Malgun Gothic" w:hAnsi="Gulim" w:cs="Gulim"/>
                <w:color w:val="000000"/>
                <w:kern w:val="0"/>
                <w:sz w:val="24"/>
                <w:szCs w:val="24"/>
              </w:rPr>
              <w:t>내용</w:t>
            </w:r>
          </w:p>
        </w:tc>
      </w:tr>
      <w:tr w:rsidR="008C2184" w:rsidRPr="00754B20" w14:paraId="69C43B86" w14:textId="77777777" w:rsidTr="00366D0A">
        <w:trPr>
          <w:cantSplit/>
          <w:trHeight w:val="597"/>
        </w:trPr>
        <w:tc>
          <w:tcPr>
            <w:tcW w:w="0" w:type="auto"/>
            <w:vMerge/>
            <w:tcBorders>
              <w:left w:val="single" w:sz="12" w:space="0" w:color="000000"/>
              <w:right w:val="single" w:sz="2" w:space="0" w:color="000000"/>
            </w:tcBorders>
            <w:vAlign w:val="center"/>
            <w:hideMark/>
          </w:tcPr>
          <w:p w14:paraId="192D8845" w14:textId="77777777" w:rsidR="008C2184" w:rsidRPr="00754B20" w:rsidRDefault="008C2184" w:rsidP="008C2184">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tcPr>
          <w:p w14:paraId="02D18820" w14:textId="6CFD3D55" w:rsidR="008C2184" w:rsidRPr="00754B20" w:rsidRDefault="00366D0A" w:rsidP="00366D0A">
            <w:pPr>
              <w:widowControl/>
              <w:wordWrap/>
              <w:autoSpaceDE/>
              <w:autoSpaceDN/>
              <w:spacing w:line="240" w:lineRule="auto"/>
              <w:rPr>
                <w:rFonts w:ascii="Times New Roman" w:eastAsiaTheme="minorHAnsi" w:hAnsi="Times New Roman" w:cs="Times New Roman"/>
                <w:sz w:val="24"/>
                <w:szCs w:val="24"/>
              </w:rPr>
            </w:pPr>
            <w:r w:rsidRPr="00754B20">
              <w:rPr>
                <w:rFonts w:ascii="Times New Roman" w:eastAsiaTheme="minorHAnsi" w:hAnsi="Times New Roman" w:cs="Times New Roman"/>
                <w:sz w:val="24"/>
                <w:szCs w:val="24"/>
              </w:rPr>
              <w:t>2016-current</w:t>
            </w:r>
          </w:p>
        </w:tc>
        <w:tc>
          <w:tcPr>
            <w:tcW w:w="5961"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tcPr>
          <w:p w14:paraId="3B5FEAEC" w14:textId="2295A74D" w:rsidR="008C2184" w:rsidRPr="00754B20" w:rsidRDefault="00366D0A" w:rsidP="00366D0A">
            <w:pPr>
              <w:widowControl/>
              <w:wordWrap/>
              <w:autoSpaceDE/>
              <w:autoSpaceDN/>
              <w:spacing w:line="240" w:lineRule="auto"/>
              <w:ind w:leftChars="-6" w:hangingChars="5" w:hanging="12"/>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sz w:val="24"/>
                <w:szCs w:val="24"/>
              </w:rPr>
              <w:t xml:space="preserve">Staff Scientist, Biological Systems and Engineering (BSE) Division, Lawrence Berkeley National Laboratory (LBNL), Director of Pathway and Metabolic Engineering, Biofuels and Bioproducts Division, Joint </w:t>
            </w:r>
            <w:proofErr w:type="spellStart"/>
            <w:r w:rsidRPr="00754B20">
              <w:rPr>
                <w:rFonts w:ascii="Times New Roman" w:eastAsiaTheme="minorHAnsi" w:hAnsi="Times New Roman" w:cs="Times New Roman"/>
                <w:sz w:val="24"/>
                <w:szCs w:val="24"/>
              </w:rPr>
              <w:t>BioEnergy</w:t>
            </w:r>
            <w:proofErr w:type="spellEnd"/>
            <w:r w:rsidRPr="00754B20">
              <w:rPr>
                <w:rFonts w:ascii="Times New Roman" w:eastAsiaTheme="minorHAnsi" w:hAnsi="Times New Roman" w:cs="Times New Roman"/>
                <w:sz w:val="24"/>
                <w:szCs w:val="24"/>
              </w:rPr>
              <w:t xml:space="preserve"> Institute (JBEI), Emeryville, CA</w:t>
            </w:r>
          </w:p>
        </w:tc>
      </w:tr>
      <w:tr w:rsidR="008C2184" w:rsidRPr="00754B20" w14:paraId="09EEB0C4" w14:textId="77777777" w:rsidTr="00366D0A">
        <w:trPr>
          <w:cantSplit/>
          <w:trHeight w:val="538"/>
        </w:trPr>
        <w:tc>
          <w:tcPr>
            <w:tcW w:w="0" w:type="auto"/>
            <w:vMerge/>
            <w:tcBorders>
              <w:left w:val="single" w:sz="12" w:space="0" w:color="000000"/>
              <w:right w:val="single" w:sz="2" w:space="0" w:color="000000"/>
            </w:tcBorders>
            <w:vAlign w:val="center"/>
          </w:tcPr>
          <w:p w14:paraId="09B71129" w14:textId="77777777" w:rsidR="008C2184" w:rsidRPr="00754B20" w:rsidRDefault="008C2184" w:rsidP="008C2184">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4F1A0897" w14:textId="4DE287DC" w:rsidR="008C2184" w:rsidRPr="00754B20" w:rsidRDefault="00366D0A" w:rsidP="00366D0A">
            <w:pPr>
              <w:widowControl/>
              <w:wordWrap/>
              <w:autoSpaceDE/>
              <w:autoSpaceDN/>
              <w:spacing w:line="240" w:lineRule="auto"/>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sz w:val="24"/>
                <w:szCs w:val="24"/>
              </w:rPr>
              <w:t>2016-2018</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34C879A0" w14:textId="4C3E96C1" w:rsidR="008C2184" w:rsidRPr="00754B20" w:rsidRDefault="00366D0A"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Deputy Vice President, Fuels Synthesis Division, JBEI</w:t>
            </w:r>
          </w:p>
        </w:tc>
      </w:tr>
      <w:tr w:rsidR="008C2184" w:rsidRPr="00754B20" w14:paraId="2CCDE539" w14:textId="77777777" w:rsidTr="00366D0A">
        <w:trPr>
          <w:cantSplit/>
          <w:trHeight w:val="592"/>
        </w:trPr>
        <w:tc>
          <w:tcPr>
            <w:tcW w:w="0" w:type="auto"/>
            <w:vMerge/>
            <w:tcBorders>
              <w:left w:val="single" w:sz="12" w:space="0" w:color="000000"/>
              <w:right w:val="single" w:sz="2" w:space="0" w:color="000000"/>
            </w:tcBorders>
            <w:vAlign w:val="center"/>
          </w:tcPr>
          <w:p w14:paraId="4D730F47" w14:textId="77777777" w:rsidR="008C2184" w:rsidRPr="00754B20" w:rsidRDefault="008C2184" w:rsidP="008C2184">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521DE8FD" w14:textId="1964B963" w:rsidR="008C2184" w:rsidRPr="00754B20" w:rsidRDefault="00366D0A"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2012-2016</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608015B7" w14:textId="08C93D13" w:rsidR="008C2184" w:rsidRPr="00754B20" w:rsidRDefault="00366D0A"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Research Scientist, Physical Biosciences Division, LBNL</w:t>
            </w:r>
          </w:p>
        </w:tc>
      </w:tr>
      <w:tr w:rsidR="00366D0A" w:rsidRPr="00754B20" w14:paraId="0D499D3B" w14:textId="77777777" w:rsidTr="00366D0A">
        <w:trPr>
          <w:cantSplit/>
          <w:trHeight w:val="669"/>
        </w:trPr>
        <w:tc>
          <w:tcPr>
            <w:tcW w:w="0" w:type="auto"/>
            <w:vMerge/>
            <w:tcBorders>
              <w:left w:val="single" w:sz="12" w:space="0" w:color="000000"/>
              <w:right w:val="single" w:sz="2" w:space="0" w:color="000000"/>
            </w:tcBorders>
            <w:vAlign w:val="center"/>
          </w:tcPr>
          <w:p w14:paraId="43F379F1" w14:textId="77777777" w:rsidR="00366D0A" w:rsidRPr="00754B20" w:rsidRDefault="00366D0A" w:rsidP="008C2184">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6E99E711" w14:textId="269D33EA" w:rsidR="00366D0A" w:rsidRPr="00754B20" w:rsidRDefault="00366D0A"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2009-2012</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2142732F" w14:textId="489C7374" w:rsidR="00366D0A" w:rsidRPr="00754B20" w:rsidRDefault="00366D0A" w:rsidP="00B66529">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Project Scientist, Physical Biosciences Division</w:t>
            </w:r>
            <w:r w:rsidR="00B66529">
              <w:rPr>
                <w:rFonts w:ascii="Times New Roman" w:eastAsiaTheme="minorHAnsi" w:hAnsi="Times New Roman" w:cs="Times New Roman"/>
                <w:color w:val="000000"/>
                <w:kern w:val="0"/>
                <w:sz w:val="24"/>
                <w:szCs w:val="24"/>
              </w:rPr>
              <w:t xml:space="preserve"> (PBD)</w:t>
            </w:r>
            <w:r w:rsidRPr="00754B20">
              <w:rPr>
                <w:rFonts w:ascii="Times New Roman" w:eastAsiaTheme="minorHAnsi" w:hAnsi="Times New Roman" w:cs="Times New Roman"/>
                <w:color w:val="000000"/>
                <w:kern w:val="0"/>
                <w:sz w:val="24"/>
                <w:szCs w:val="24"/>
              </w:rPr>
              <w:t>, LBNL</w:t>
            </w:r>
            <w:r w:rsidR="00B66529">
              <w:rPr>
                <w:rFonts w:ascii="Times New Roman" w:eastAsiaTheme="minorHAnsi" w:hAnsi="Times New Roman" w:cs="Times New Roman"/>
                <w:color w:val="000000"/>
                <w:kern w:val="0"/>
                <w:sz w:val="24"/>
                <w:szCs w:val="24"/>
              </w:rPr>
              <w:t xml:space="preserve">. </w:t>
            </w:r>
            <w:r w:rsidRPr="00754B20">
              <w:rPr>
                <w:rFonts w:ascii="Times New Roman" w:eastAsiaTheme="minorHAnsi" w:hAnsi="Times New Roman" w:cs="Times New Roman"/>
                <w:color w:val="000000"/>
                <w:kern w:val="0"/>
                <w:sz w:val="24"/>
                <w:szCs w:val="24"/>
              </w:rPr>
              <w:t>Director of Metabolic Engineering, Fuels Synthesis Division, JBEI</w:t>
            </w:r>
          </w:p>
        </w:tc>
      </w:tr>
      <w:tr w:rsidR="00366D0A" w:rsidRPr="00754B20" w14:paraId="6CBFEA69" w14:textId="77777777" w:rsidTr="00366D0A">
        <w:trPr>
          <w:cantSplit/>
          <w:trHeight w:val="669"/>
        </w:trPr>
        <w:tc>
          <w:tcPr>
            <w:tcW w:w="0" w:type="auto"/>
            <w:vMerge/>
            <w:tcBorders>
              <w:left w:val="single" w:sz="12" w:space="0" w:color="000000"/>
              <w:right w:val="single" w:sz="2" w:space="0" w:color="000000"/>
            </w:tcBorders>
            <w:vAlign w:val="center"/>
          </w:tcPr>
          <w:p w14:paraId="5C219B07" w14:textId="77777777" w:rsidR="00366D0A" w:rsidRPr="00754B20" w:rsidRDefault="00366D0A" w:rsidP="00366D0A">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10453709" w14:textId="1EC1600F" w:rsidR="00366D0A" w:rsidRPr="00754B20" w:rsidRDefault="00366D0A"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2008-2009</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4A5CFF6E" w14:textId="778D2D5C" w:rsidR="00366D0A" w:rsidRPr="00754B20" w:rsidRDefault="00366D0A" w:rsidP="00B66529">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 xml:space="preserve">Project Scientist, </w:t>
            </w:r>
            <w:r w:rsidR="00B66529">
              <w:rPr>
                <w:rFonts w:ascii="Times New Roman" w:eastAsiaTheme="minorHAnsi" w:hAnsi="Times New Roman" w:cs="Times New Roman"/>
                <w:color w:val="000000"/>
                <w:kern w:val="0"/>
                <w:sz w:val="24"/>
                <w:szCs w:val="24"/>
              </w:rPr>
              <w:t>PBD</w:t>
            </w:r>
            <w:r w:rsidRPr="00754B20">
              <w:rPr>
                <w:rFonts w:ascii="Times New Roman" w:eastAsiaTheme="minorHAnsi" w:hAnsi="Times New Roman" w:cs="Times New Roman"/>
                <w:color w:val="000000"/>
                <w:kern w:val="0"/>
                <w:sz w:val="24"/>
                <w:szCs w:val="24"/>
              </w:rPr>
              <w:t>, LBNL</w:t>
            </w:r>
            <w:r w:rsidR="00B66529">
              <w:rPr>
                <w:rFonts w:ascii="Times New Roman" w:eastAsiaTheme="minorHAnsi" w:hAnsi="Times New Roman" w:cs="Times New Roman"/>
                <w:color w:val="000000"/>
                <w:kern w:val="0"/>
                <w:sz w:val="24"/>
                <w:szCs w:val="24"/>
              </w:rPr>
              <w:t xml:space="preserve">. </w:t>
            </w:r>
            <w:r w:rsidRPr="00754B20">
              <w:rPr>
                <w:rFonts w:ascii="Times New Roman" w:eastAsiaTheme="minorHAnsi" w:hAnsi="Times New Roman" w:cs="Times New Roman"/>
                <w:color w:val="000000"/>
                <w:kern w:val="0"/>
                <w:sz w:val="24"/>
                <w:szCs w:val="24"/>
              </w:rPr>
              <w:t>D</w:t>
            </w:r>
            <w:r w:rsidRPr="00754B20">
              <w:rPr>
                <w:rFonts w:ascii="Times New Roman" w:eastAsiaTheme="minorHAnsi" w:hAnsi="Times New Roman" w:cs="Times New Roman"/>
                <w:color w:val="000000"/>
                <w:kern w:val="0"/>
                <w:sz w:val="24"/>
                <w:szCs w:val="24"/>
              </w:rPr>
              <w:t>eputy D</w:t>
            </w:r>
            <w:r w:rsidRPr="00754B20">
              <w:rPr>
                <w:rFonts w:ascii="Times New Roman" w:eastAsiaTheme="minorHAnsi" w:hAnsi="Times New Roman" w:cs="Times New Roman"/>
                <w:color w:val="000000"/>
                <w:kern w:val="0"/>
                <w:sz w:val="24"/>
                <w:szCs w:val="24"/>
              </w:rPr>
              <w:t>irector of Metabolic Engineering, Fuels Synthesis Division, JBEI</w:t>
            </w:r>
          </w:p>
        </w:tc>
      </w:tr>
      <w:tr w:rsidR="00366D0A" w:rsidRPr="00754B20" w14:paraId="423435FF" w14:textId="77777777" w:rsidTr="00754B20">
        <w:trPr>
          <w:cantSplit/>
          <w:trHeight w:val="669"/>
        </w:trPr>
        <w:tc>
          <w:tcPr>
            <w:tcW w:w="0" w:type="auto"/>
            <w:vMerge/>
            <w:tcBorders>
              <w:left w:val="single" w:sz="12" w:space="0" w:color="000000"/>
              <w:bottom w:val="single" w:sz="4" w:space="0" w:color="auto"/>
              <w:right w:val="single" w:sz="2" w:space="0" w:color="000000"/>
            </w:tcBorders>
            <w:vAlign w:val="center"/>
          </w:tcPr>
          <w:p w14:paraId="1990BAFA" w14:textId="77777777" w:rsidR="00366D0A" w:rsidRPr="00754B20" w:rsidRDefault="00366D0A" w:rsidP="00366D0A">
            <w:pPr>
              <w:widowControl/>
              <w:wordWrap/>
              <w:autoSpaceDE/>
              <w:autoSpaceDN/>
              <w:spacing w:after="0" w:line="240" w:lineRule="auto"/>
              <w:jc w:val="left"/>
              <w:rPr>
                <w:rFonts w:ascii="Gulim" w:eastAsia="Gulim" w:hAnsi="Gulim" w:cs="Gulim"/>
                <w:color w:val="000000"/>
                <w:kern w:val="0"/>
                <w:sz w:val="24"/>
                <w:szCs w:val="24"/>
              </w:rPr>
            </w:pPr>
          </w:p>
        </w:tc>
        <w:tc>
          <w:tcPr>
            <w:tcW w:w="1599" w:type="dxa"/>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tcPr>
          <w:p w14:paraId="6061D3F9" w14:textId="68191A14" w:rsidR="00366D0A" w:rsidRPr="00754B20" w:rsidRDefault="00754B20"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2006-2008</w:t>
            </w:r>
          </w:p>
        </w:tc>
        <w:tc>
          <w:tcPr>
            <w:tcW w:w="5961" w:type="dxa"/>
            <w:tcBorders>
              <w:top w:val="single" w:sz="4" w:space="0" w:color="auto"/>
              <w:left w:val="single" w:sz="2" w:space="0" w:color="000000"/>
              <w:bottom w:val="single" w:sz="4" w:space="0" w:color="auto"/>
              <w:right w:val="single" w:sz="12" w:space="0" w:color="000000"/>
            </w:tcBorders>
            <w:tcMar>
              <w:top w:w="28" w:type="dxa"/>
              <w:left w:w="102" w:type="dxa"/>
              <w:bottom w:w="28" w:type="dxa"/>
              <w:right w:w="102" w:type="dxa"/>
            </w:tcMar>
          </w:tcPr>
          <w:p w14:paraId="240DD86B" w14:textId="6556AE12" w:rsidR="00366D0A" w:rsidRPr="00754B20" w:rsidRDefault="00754B20" w:rsidP="00366D0A">
            <w:pPr>
              <w:snapToGrid w:val="0"/>
              <w:spacing w:after="0" w:line="240" w:lineRule="auto"/>
              <w:textAlignment w:val="baseline"/>
              <w:rPr>
                <w:rFonts w:ascii="Times New Roman" w:eastAsiaTheme="minorHAnsi" w:hAnsi="Times New Roman" w:cs="Times New Roman"/>
                <w:color w:val="000000"/>
                <w:kern w:val="0"/>
                <w:sz w:val="24"/>
                <w:szCs w:val="24"/>
              </w:rPr>
            </w:pPr>
            <w:r w:rsidRPr="00754B20">
              <w:rPr>
                <w:rFonts w:ascii="Times New Roman" w:eastAsiaTheme="minorHAnsi" w:hAnsi="Times New Roman" w:cs="Times New Roman"/>
                <w:color w:val="000000"/>
                <w:kern w:val="0"/>
                <w:sz w:val="24"/>
                <w:szCs w:val="24"/>
              </w:rPr>
              <w:t>Postdoctoral researcher, LBNL and University of California, Berkeley, CA</w:t>
            </w:r>
          </w:p>
        </w:tc>
      </w:tr>
    </w:tbl>
    <w:p w14:paraId="282C61B7" w14:textId="77777777" w:rsidR="00A477AC" w:rsidRPr="00754B20" w:rsidRDefault="00A477AC">
      <w:pPr>
        <w:rPr>
          <w:sz w:val="24"/>
          <w:szCs w:val="24"/>
        </w:rPr>
      </w:pPr>
    </w:p>
    <w:sectPr w:rsidR="00A477AC" w:rsidRPr="00754B2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2636"/>
    <w:multiLevelType w:val="multilevel"/>
    <w:tmpl w:val="AC3AB562"/>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33"/>
    <w:rsid w:val="00366D0A"/>
    <w:rsid w:val="00586918"/>
    <w:rsid w:val="00754B20"/>
    <w:rsid w:val="007D3433"/>
    <w:rsid w:val="008C2184"/>
    <w:rsid w:val="00950D33"/>
    <w:rsid w:val="00A477AC"/>
    <w:rsid w:val="00B66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552E"/>
  <w15:chartTrackingRefBased/>
  <w15:docId w15:val="{A7971DD6-1595-4F90-9CE1-9CCE83D1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950D33"/>
    <w:pPr>
      <w:snapToGrid w:val="0"/>
      <w:spacing w:after="0" w:line="384" w:lineRule="auto"/>
      <w:textAlignment w:val="baseline"/>
    </w:pPr>
    <w:rPr>
      <w:rFonts w:ascii="Gulim" w:eastAsia="Gulim" w:hAnsi="Gulim" w:cs="Gulim"/>
      <w:color w:val="000000"/>
      <w:kern w:val="0"/>
      <w:szCs w:val="20"/>
    </w:rPr>
  </w:style>
  <w:style w:type="paragraph" w:customStyle="1" w:styleId="MS">
    <w:name w:val="MS바탕글"/>
    <w:basedOn w:val="Normal"/>
    <w:rsid w:val="00950D33"/>
    <w:pPr>
      <w:wordWrap/>
      <w:spacing w:after="0" w:line="240" w:lineRule="auto"/>
      <w:jc w:val="left"/>
      <w:textAlignment w:val="baseline"/>
    </w:pPr>
    <w:rPr>
      <w:rFonts w:ascii="Gulim" w:eastAsia="Gulim" w:hAnsi="Gulim" w:cs="Gulim"/>
      <w:color w:val="000000"/>
      <w:kern w:val="0"/>
      <w:sz w:val="22"/>
    </w:rPr>
  </w:style>
  <w:style w:type="paragraph" w:customStyle="1" w:styleId="TableParagraph">
    <w:name w:val="Table Paragraph"/>
    <w:basedOn w:val="Normal"/>
    <w:rsid w:val="00950D33"/>
    <w:pPr>
      <w:wordWrap/>
      <w:spacing w:after="0" w:line="240" w:lineRule="auto"/>
      <w:jc w:val="left"/>
      <w:textAlignment w:val="baseline"/>
    </w:pPr>
    <w:rPr>
      <w:rFonts w:ascii="Gulim" w:eastAsia="Gulim" w:hAnsi="Gulim" w:cs="Gulim"/>
      <w:color w:val="000000"/>
      <w:kern w:val="0"/>
      <w:sz w:val="22"/>
    </w:rPr>
  </w:style>
  <w:style w:type="paragraph" w:styleId="NormalWeb">
    <w:name w:val="Normal (Web)"/>
    <w:basedOn w:val="Normal"/>
    <w:uiPriority w:val="99"/>
    <w:unhideWhenUsed/>
    <w:rsid w:val="008C218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8658">
      <w:bodyDiv w:val="1"/>
      <w:marLeft w:val="0"/>
      <w:marRight w:val="0"/>
      <w:marTop w:val="0"/>
      <w:marBottom w:val="0"/>
      <w:divBdr>
        <w:top w:val="none" w:sz="0" w:space="0" w:color="auto"/>
        <w:left w:val="none" w:sz="0" w:space="0" w:color="auto"/>
        <w:bottom w:val="none" w:sz="0" w:space="0" w:color="auto"/>
        <w:right w:val="none" w:sz="0" w:space="0" w:color="auto"/>
      </w:divBdr>
    </w:div>
    <w:div w:id="579022860">
      <w:bodyDiv w:val="1"/>
      <w:marLeft w:val="0"/>
      <w:marRight w:val="0"/>
      <w:marTop w:val="0"/>
      <w:marBottom w:val="0"/>
      <w:divBdr>
        <w:top w:val="none" w:sz="0" w:space="0" w:color="auto"/>
        <w:left w:val="none" w:sz="0" w:space="0" w:color="auto"/>
        <w:bottom w:val="none" w:sz="0" w:space="0" w:color="auto"/>
        <w:right w:val="none" w:sz="0" w:space="0" w:color="auto"/>
      </w:divBdr>
    </w:div>
    <w:div w:id="1317615012">
      <w:bodyDiv w:val="1"/>
      <w:marLeft w:val="0"/>
      <w:marRight w:val="0"/>
      <w:marTop w:val="0"/>
      <w:marBottom w:val="0"/>
      <w:divBdr>
        <w:top w:val="none" w:sz="0" w:space="0" w:color="auto"/>
        <w:left w:val="none" w:sz="0" w:space="0" w:color="auto"/>
        <w:bottom w:val="none" w:sz="0" w:space="0" w:color="auto"/>
        <w:right w:val="none" w:sz="0" w:space="0" w:color="auto"/>
      </w:divBdr>
    </w:div>
    <w:div w:id="1581060796">
      <w:bodyDiv w:val="1"/>
      <w:marLeft w:val="0"/>
      <w:marRight w:val="0"/>
      <w:marTop w:val="0"/>
      <w:marBottom w:val="0"/>
      <w:divBdr>
        <w:top w:val="none" w:sz="0" w:space="0" w:color="auto"/>
        <w:left w:val="none" w:sz="0" w:space="0" w:color="auto"/>
        <w:bottom w:val="none" w:sz="0" w:space="0" w:color="auto"/>
        <w:right w:val="none" w:sz="0" w:space="0" w:color="auto"/>
      </w:divBdr>
    </w:div>
    <w:div w:id="15871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389</Words>
  <Characters>2219</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Taek Soon Lee</cp:lastModifiedBy>
  <cp:revision>4</cp:revision>
  <dcterms:created xsi:type="dcterms:W3CDTF">2018-11-01T17:00:00Z</dcterms:created>
  <dcterms:modified xsi:type="dcterms:W3CDTF">2018-11-01T17:42:00Z</dcterms:modified>
</cp:coreProperties>
</file>